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A" w:rsidRPr="002504FE" w:rsidRDefault="002145FA" w:rsidP="002145FA">
      <w:pPr>
        <w:spacing w:after="0" w:line="240" w:lineRule="auto"/>
        <w:ind w:left="7788"/>
        <w:rPr>
          <w:rFonts w:ascii="Times New Roman" w:hAnsi="Times New Roman"/>
          <w:spacing w:val="-11"/>
          <w:szCs w:val="24"/>
          <w:lang w:val="en-US"/>
        </w:rPr>
      </w:pPr>
      <w:r w:rsidRPr="006E24D4">
        <w:rPr>
          <w:rFonts w:ascii="Times New Roman" w:hAnsi="Times New Roman"/>
          <w:spacing w:val="-11"/>
          <w:szCs w:val="24"/>
        </w:rPr>
        <w:t>Приложение №</w:t>
      </w:r>
      <w:r w:rsidR="002504FE" w:rsidRPr="002504FE">
        <w:rPr>
          <w:rFonts w:ascii="Times New Roman" w:hAnsi="Times New Roman"/>
          <w:spacing w:val="-11"/>
          <w:szCs w:val="24"/>
        </w:rPr>
        <w:t xml:space="preserve"> </w:t>
      </w:r>
      <w:r w:rsidR="002504FE">
        <w:rPr>
          <w:rFonts w:ascii="Times New Roman" w:hAnsi="Times New Roman"/>
          <w:spacing w:val="-11"/>
          <w:szCs w:val="24"/>
          <w:lang w:val="en-US"/>
        </w:rPr>
        <w:t>4</w:t>
      </w:r>
      <w:bookmarkStart w:id="0" w:name="_GoBack"/>
      <w:bookmarkEnd w:id="0"/>
    </w:p>
    <w:p w:rsidR="002145FA" w:rsidRPr="006E24D4" w:rsidRDefault="002145FA" w:rsidP="002145FA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Cs w:val="24"/>
        </w:rPr>
      </w:pPr>
      <w:r w:rsidRPr="006E24D4">
        <w:rPr>
          <w:rFonts w:ascii="Times New Roman" w:hAnsi="Times New Roman"/>
          <w:spacing w:val="-11"/>
          <w:szCs w:val="24"/>
        </w:rPr>
        <w:t>к Договору подряда № _________</w:t>
      </w:r>
    </w:p>
    <w:p w:rsidR="002145FA" w:rsidRPr="006E24D4" w:rsidRDefault="002145FA" w:rsidP="002145FA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Cs w:val="24"/>
        </w:rPr>
      </w:pPr>
      <w:r w:rsidRPr="006E24D4">
        <w:rPr>
          <w:rFonts w:ascii="Times New Roman" w:hAnsi="Times New Roman"/>
          <w:spacing w:val="-11"/>
          <w:szCs w:val="24"/>
        </w:rPr>
        <w:t xml:space="preserve">от ____________________ </w:t>
      </w:r>
      <w:proofErr w:type="gramStart"/>
      <w:r w:rsidRPr="006E24D4">
        <w:rPr>
          <w:rFonts w:ascii="Times New Roman" w:hAnsi="Times New Roman"/>
          <w:spacing w:val="-11"/>
          <w:szCs w:val="24"/>
        </w:rPr>
        <w:t>г</w:t>
      </w:r>
      <w:proofErr w:type="gramEnd"/>
      <w:r w:rsidRPr="006E24D4">
        <w:rPr>
          <w:rFonts w:ascii="Times New Roman" w:hAnsi="Times New Roman"/>
          <w:spacing w:val="-11"/>
          <w:szCs w:val="24"/>
        </w:rPr>
        <w:t>.</w:t>
      </w:r>
    </w:p>
    <w:p w:rsidR="002145FA" w:rsidRPr="002145FA" w:rsidRDefault="002145FA">
      <w:pPr>
        <w:rPr>
          <w:rFonts w:ascii="Times New Roman" w:hAnsi="Times New Roman"/>
          <w:sz w:val="24"/>
          <w:szCs w:val="24"/>
        </w:rPr>
      </w:pPr>
    </w:p>
    <w:p w:rsidR="002145FA" w:rsidRDefault="002145FA" w:rsidP="002145FA">
      <w:pPr>
        <w:jc w:val="center"/>
        <w:rPr>
          <w:rFonts w:ascii="Times New Roman" w:hAnsi="Times New Roman"/>
          <w:b/>
          <w:sz w:val="24"/>
          <w:szCs w:val="24"/>
        </w:rPr>
      </w:pPr>
      <w:r w:rsidRPr="002145FA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на выполнение работ по строительству Объекта.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8751"/>
      </w:tblGrid>
      <w:tr w:rsidR="002145FA" w:rsidRPr="002145FA" w:rsidTr="002145FA">
        <w:trPr>
          <w:trHeight w:val="64"/>
        </w:trPr>
        <w:tc>
          <w:tcPr>
            <w:tcW w:w="5000" w:type="pct"/>
            <w:gridSpan w:val="2"/>
          </w:tcPr>
          <w:p w:rsidR="002145FA" w:rsidRPr="002145FA" w:rsidRDefault="002145FA" w:rsidP="006E24D4">
            <w:pPr>
              <w:widowControl w:val="0"/>
              <w:numPr>
                <w:ilvl w:val="0"/>
                <w:numId w:val="1"/>
              </w:numPr>
              <w:tabs>
                <w:tab w:val="num" w:pos="0"/>
              </w:tabs>
              <w:autoSpaceDE w:val="0"/>
              <w:autoSpaceDN w:val="0"/>
              <w:adjustRightInd w:val="0"/>
              <w:spacing w:before="40" w:after="40" w:line="240" w:lineRule="auto"/>
              <w:ind w:hanging="1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ОБЩИЕ ДАННЫЕ.</w:t>
            </w:r>
          </w:p>
        </w:tc>
      </w:tr>
      <w:tr w:rsidR="002145FA" w:rsidRPr="002145FA" w:rsidTr="002145FA">
        <w:trPr>
          <w:trHeight w:val="374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1.1 Наименование работ</w:t>
            </w:r>
          </w:p>
        </w:tc>
        <w:tc>
          <w:tcPr>
            <w:tcW w:w="4171" w:type="pct"/>
            <w:tcBorders>
              <w:bottom w:val="single" w:sz="4" w:space="0" w:color="auto"/>
            </w:tcBorders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Проектирова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троительство Объекта</w:t>
            </w:r>
          </w:p>
        </w:tc>
      </w:tr>
      <w:tr w:rsidR="002145FA" w:rsidRPr="002145FA" w:rsidTr="002145FA">
        <w:trPr>
          <w:trHeight w:val="578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1.2. Назначение объекта</w:t>
            </w:r>
          </w:p>
        </w:tc>
        <w:tc>
          <w:tcPr>
            <w:tcW w:w="4171" w:type="pct"/>
            <w:shd w:val="clear" w:color="auto" w:fill="FFFFFF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Предоставление в аренду для размещения технологического оборудования</w:t>
            </w:r>
          </w:p>
        </w:tc>
      </w:tr>
      <w:tr w:rsidR="002145FA" w:rsidRPr="002145FA" w:rsidTr="002145FA">
        <w:trPr>
          <w:trHeight w:val="264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1.3. Основание для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строительства</w:t>
            </w:r>
          </w:p>
        </w:tc>
        <w:tc>
          <w:tcPr>
            <w:tcW w:w="4171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Заказ на выполнение Работ</w:t>
            </w:r>
          </w:p>
        </w:tc>
      </w:tr>
      <w:tr w:rsidR="002145FA" w:rsidRPr="002145FA" w:rsidTr="002145FA">
        <w:trPr>
          <w:trHeight w:val="264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1.4. Планируемые сроки начала и окончания работ</w:t>
            </w:r>
          </w:p>
        </w:tc>
        <w:tc>
          <w:tcPr>
            <w:tcW w:w="4171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 соответствии с Заказом</w:t>
            </w:r>
          </w:p>
        </w:tc>
      </w:tr>
      <w:tr w:rsidR="002145FA" w:rsidRPr="002145FA" w:rsidTr="002145FA">
        <w:trPr>
          <w:trHeight w:val="264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1.5. Данные об особых условиях строительства</w:t>
            </w:r>
          </w:p>
        </w:tc>
        <w:tc>
          <w:tcPr>
            <w:tcW w:w="4171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Документация каждого Объекта, должна быть выполнена в соответствии с ветровым, гололедным, снеговым и сейсмическим районами строительства.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Координаты места строительства указываются в Заказе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2145FA" w:rsidRPr="002145FA" w:rsidTr="002145FA">
        <w:trPr>
          <w:trHeight w:val="181"/>
        </w:trPr>
        <w:tc>
          <w:tcPr>
            <w:tcW w:w="5000" w:type="pct"/>
            <w:gridSpan w:val="2"/>
            <w:shd w:val="clear" w:color="auto" w:fill="auto"/>
          </w:tcPr>
          <w:p w:rsidR="002145FA" w:rsidRPr="002145FA" w:rsidRDefault="002145FA" w:rsidP="006E24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ИСХОДНЫЕ ДАННЫЕ. ТЕХНИЧЕСКИЕ ТРЕБОВАНИЯ.</w:t>
            </w:r>
          </w:p>
        </w:tc>
      </w:tr>
      <w:tr w:rsidR="002145FA" w:rsidRPr="002145FA" w:rsidTr="002145FA">
        <w:trPr>
          <w:trHeight w:val="547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2.1 Исходные данные. </w:t>
            </w:r>
          </w:p>
        </w:tc>
        <w:tc>
          <w:tcPr>
            <w:tcW w:w="4171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Относительная нулевая отметка (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0.0) Объекта соответствует верху ответного фланца закладной детали фундамента. Высота Объекта принимается от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0.0 до верхнего уровня Объекта. Габаритная высота Объекта принимается от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0,0 до отметки верхней точки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Объект должен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представлять из себя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временное (не капитальное) сооружение. Конструктивное исполнение Объекта должно обеспечивать возможность его установки на месте (точке) в соответствии с рекомендациями Заказчика и согласованном в процессе исследований подрядчика-исполнителя (возможность монтажа с помощью крана).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При проектировании металлоконструкций, фундаментов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и при оформлении рабочей документации выполнять требования данного ТЗ и следующих норм (не ограничиваясь):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21.1101-2013 Система проектной документации для строительства (СПДС). Основные требования к проектной и рабочей документации;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21.502-2007 Система проектной документации для строительства. Правила выполнения проектной и рабочей документации металлических конструкций;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Временная инструкция о составе и оформлении строительных рабочих чертежей зданий и сооружений. Конструкции металлические. Чертежи КМД.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СТО 02494680-0035-2004. Состав и оформление рабочих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чертежей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марки КМ;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20.13330.2011 Нагрузки и воздействия. Актуализированная редакция СНиП 2.01.07-85*;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16.13330.2011 Стальные конструкции. Актуализированная редакция СНиП II-23-81*;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22.13330.2011 Основания зданий и сооружений. Актуализированная редакция СНиП 2.02.01-83*;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14.13330.2014 «Строительство в сейсмических районах», а также иными нормативными документами, действующими на территории РФ и в регионе строительства.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изготовлении и монтаже конструкций выполнять требования данного ТЗ и следующих норм (не ограничиваясь):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23118-2012 Конструкции стальные строительные;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53-101-98. Изготовление и контроль качества стальных строительных конструкций;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СП 70.13330.2012 Несущие и ограждающие конструкции. Актуализированная редакция СНиП 3.03.01-87;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ГОСТ 12.1.003-83 (Система стандартов безопасности труда.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Шум.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Общие требования безопасности);</w:t>
            </w:r>
            <w:proofErr w:type="gramEnd"/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СНиП 12-03-2001 Безопасность труда в строительстве. Часть 1. Общие требования;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СНиП 12-04-2002 Безопасность труда в строительстве. Часть 2. Строительное производство;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Вблизи опасных зон, где используется подъемно - транспортное оборудование, на строительных площадках, участках, в цехах, мастерских и т.п. должен быть установлен знак: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noProof/>
                <w:sz w:val="20"/>
                <w:szCs w:val="20"/>
              </w:rPr>
              <w:drawing>
                <wp:inline distT="0" distB="0" distL="0" distR="0" wp14:anchorId="08A87A0C" wp14:editId="425ED73B">
                  <wp:extent cx="7620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ГОСТ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12.4.026-2001 (цвета сигнальные, знаки безопасности и разметка сигнальная назначение и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правила применения. Общие технические требования и характеристики.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 позднее 3 (Трех) календарных дней до начала общестроительных, монтажных и пуско-наладочных работ по строительству объекта в центре Земельного участка установить знак (информационный щит) с информацией о строящемся Объекте, размер которого не менее 205 х 280 мм.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выполнении строительных работ на Земельном участке установить предупреждающие и запрещающие знаки (информационные щиты) в соответствии с действующим законодательством.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Предусмотреть установку антивандальной защиты анкерных болтов.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Для объектов типа ВМО: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Нижний фланец после монтажа Объекта закрыть антивандальным кожухом (цоколем).</w:t>
            </w:r>
          </w:p>
        </w:tc>
      </w:tr>
      <w:tr w:rsidR="002145FA" w:rsidRPr="002145FA" w:rsidTr="002145FA">
        <w:trPr>
          <w:trHeight w:val="547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 Данные по составу оборудования</w:t>
            </w:r>
          </w:p>
        </w:tc>
        <w:tc>
          <w:tcPr>
            <w:tcW w:w="4171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Исходные данные по составу, техническим и массогабаритным характеристикам размещаемого оборудования содержатся в описании конструктива сооружения, передаваемым Заказчиком.</w:t>
            </w:r>
          </w:p>
        </w:tc>
      </w:tr>
      <w:tr w:rsidR="002145FA" w:rsidRPr="002145FA" w:rsidTr="002145FA">
        <w:trPr>
          <w:trHeight w:val="1118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прочности, устойчивости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деформативности</w:t>
            </w:r>
            <w:proofErr w:type="spellEnd"/>
          </w:p>
        </w:tc>
        <w:tc>
          <w:tcPr>
            <w:tcW w:w="4171" w:type="pct"/>
          </w:tcPr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Металлоконструкции опоры должны быть рассчитаны на прочность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деформативность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для климатических, сейсмических условий района строительства на монтажные нагрузки в соответствии с действующими нормами. 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Предельные отклонения Объекта при монтаже от проектного положения не должны превышать значений, указанных СП 70.13330.2012 Несущие и ограждающие конструкции.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Предельные угловые отклонения посадочных мест технологического оборудования в горизонтальной плоскости (вокруг вертикальной оси) при максимальной нормативной ветровой нагрузке (для ветрового района места расположения Объекта) должны составлять не более 0,7° для уровня установки антенн РРС.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Заглубление фундамента (при наличии) должно быть менее 4,0м относительно земли.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 случае предоставления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Типового проекта, включающего решения по опоре, фундаменту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молниезащите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и производству работ, отступление от принятых решений без письменного уведомления и подтверждения выполнения этих отступлений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не допускается. Одновременно с этим запрещено применять решения, указанные в типовых проектах, вблизи склонов,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на самих склонах, в грунтах, не соответствующих указанным в проектах и прочих ограничениях по применению, указанных в документации или предоставляемым расчетам несущей способности. В таком случае требуется уведомление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для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решений, позволяющих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разместить Объект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 указанном месте. Согласованием предлагаемых решений может являться только письменное подтверждение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Заказчика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содержащее во вложении согласованный проект, или скан листа с подписью, должностью согласовавшего сотрудника и датой согласования. Без наличия данных согласований проведение работ запрещено.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Срок безаварийной эксплуатации смонтированного Объекта должен составлять не менее 25 лет с момента их установки при условии периодического восстановления антикоррозийного покрытия конструкции и соблюдения требований эксплуатации.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 конструкции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предусмотрены проушины для транспортировки.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Трубостойки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для секторных антенн должны иметь выносы от тела мачты не менее 300 мм для возможности юстировки антенн по азимуту не менее чем на 30º в каждую сторону. Не прямолинейность опоры крепления (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трубостойки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) для элементов технологического оборудования не более 5 мм на метр ее длины.</w:t>
            </w:r>
          </w:p>
        </w:tc>
      </w:tr>
      <w:tr w:rsidR="002145FA" w:rsidRPr="002145FA" w:rsidTr="002145FA">
        <w:trPr>
          <w:trHeight w:val="547"/>
        </w:trPr>
        <w:tc>
          <w:tcPr>
            <w:tcW w:w="829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2.5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и защита от поражения током</w:t>
            </w:r>
          </w:p>
        </w:tc>
        <w:tc>
          <w:tcPr>
            <w:tcW w:w="4171" w:type="pct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Опора должна быть спроектирована и изготовлена в соответствии с требованиями по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молниезащите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СО 153-34.21.122-2003, РД 34.21.122-87 и заземлению, ПУЭ изд.7.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Сопротивление заземляющего устройства - не более 4 Ом.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Необходимо предоставить измерение сопротивления заземления с последующим оформлением протокола, выполненные сертифицированной лабораторией.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Контур заземляющего устройства защитного заземления АФУ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молниезащиты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выполнить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совмещенным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молниезащиты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технологического оборудования, размещаемого на конструкции Объекта, предусмотреть трос, диаметром 12мм, присоединяемый к контуру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молниезащиты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мачты. Диаметр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должен быть не менее 16мм.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Распределительные коробки электропитания ламп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должны быть стальными влагозащищенными (при наличии).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Недопустимо расположение распределительных коробок кабельными вводными отверстиями вверх.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Распределительные коробки должны быть заземлены болтовым соединением на магистраль защитного заземления от поражения электрическим током.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(при наличии) должен быть сечением не менее 4х2,5мм2 в металлической броне. Изменение сечения кабеля допускается только по согласованию с Заказчиком.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Защитный металлический экран кабеля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должен быть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заземлен на шину заземления в точках подключения к распределительным коробкам.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Каждый отрезок кабеля должен иметь заземляющие отводы от металлической брони с 2-х сторон отрезка.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питания сигнальных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на вводе в распределительную коробку должен быть механически зафиксирован и влагозащищен (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загерметизирован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ввод).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 горизонтальном вводе кабеля в распределительную коробку обеспечить прогиб кабеля вниз для стока воды.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Все опорные фланцы (башмаки) Объекта должны быть заземлены и соединены с общим контуром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молниезащиты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полосой 5х40мм.</w:t>
            </w:r>
          </w:p>
        </w:tc>
      </w:tr>
      <w:tr w:rsidR="002145FA" w:rsidRPr="002145FA" w:rsidTr="002145FA">
        <w:trPr>
          <w:trHeight w:val="547"/>
        </w:trPr>
        <w:tc>
          <w:tcPr>
            <w:tcW w:w="829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2.6 Кабельный мост</w:t>
            </w:r>
          </w:p>
        </w:tc>
        <w:tc>
          <w:tcPr>
            <w:tcW w:w="4171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Для объектов типа ВМО: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Предусмотреть возможность прокладки кабелей внутри Объекта с установкой крышек на монтажные окна.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Ширина кабельного лотка выбирается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из условия размещения на нём необходимого количества кабелей для технологического оборудования в соответствии с таблицей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1, а также кабелей питания огней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(СОМ). Конструкции для крепления кабелей должны быть с шагом не более 0,8 м.</w:t>
            </w:r>
          </w:p>
        </w:tc>
      </w:tr>
      <w:tr w:rsidR="002145FA" w:rsidRPr="002145FA" w:rsidTr="002145FA">
        <w:trPr>
          <w:trHeight w:val="547"/>
        </w:trPr>
        <w:tc>
          <w:tcPr>
            <w:tcW w:w="829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iCs/>
                <w:sz w:val="20"/>
                <w:szCs w:val="20"/>
              </w:rPr>
              <w:t>2.9 Территория и благоустройство</w:t>
            </w:r>
          </w:p>
        </w:tc>
        <w:tc>
          <w:tcPr>
            <w:tcW w:w="4171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По факту окончания строительно-монтажных работ необходимо: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убрать строительный мусор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газонов, зеленых насаждений и элементов благоустройства в случае их повреждения при производстве работ, конструктивных слоев дорожной одежды тротуаров, с последующим устройством асфальтобетонного покрытия на всю ширину, в соответствии с действующим на момент проведения работ территориальным приказом о благоустройстве.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выполнить восстановление (при необходимости) бортового камня (с заменой поврежденного на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новый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выполнить восстановление (при необходимости) люков колодцев, попадающих в зону производства работ, с обязательной установкой на железобетонные подкладные элементы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Для объектов типа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Размеры ограждения: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SMU39 – 11,5*х11,5*м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SMU41;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SMU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50 – 16*х16*м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* - допускается отступление в пределах ±0,5м и зависит от габаритов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пригрузов</w:t>
            </w:r>
            <w:proofErr w:type="spellEnd"/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Ограждение периметра территории выполнить равными секциями, длиной не более 3 м.  Длина столба должна быть выбрана с учетом обеспечения возможности заглубления в грунт на менее чем на 0,5 м. и высоты ограждения не менее 2,5 м без учета колючей проволоки. Верхние торцы столбов из труб должны быть закрыты заглушками. Столбы ограждения должны быть забетонированы на всю глубину погружения в грунт.</w:t>
            </w:r>
            <w:r w:rsidRPr="002145FA" w:rsidDel="000D08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Кронштейны для крепления колючей проволоки должны быть изготовлены из стального прута или металлического уголка, приварены к ограждению с шагом не меньше 2,5 м с наклоном внутрь площадки на угол 45-60° от уровня горизонта или вертикально. Длина кронштейна должна быть выбрана с учетом возможности размещения двух нитей колючей проволоки с шагом 150 мм. Калитка ограждения должна быть оснащена проушинами для навесного замка, шириной не менее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2145FA">
                <w:rPr>
                  <w:rFonts w:ascii="Times New Roman" w:hAnsi="Times New Roman"/>
                  <w:bCs/>
                  <w:sz w:val="20"/>
                  <w:szCs w:val="20"/>
                </w:rPr>
                <w:t>1000 мм</w:t>
              </w:r>
            </w:smartTag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с порогом проема не менее 250-300 мм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т уровня поверхности площадки с выполненной планировкой. В конструкции ограждения должно быть предусмотрено решение для крепления электронного замка (см рис. 1). Металлоконструкции ограждения должны иметь антикоррозийное покрытие устойчивое к климатическим условиям до 5 лет. До начала проведения работ согласовать конструктивные решения по ограждению объекта с 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Рис. 1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A9018AD" wp14:editId="450F7D7D">
                  <wp:extent cx="2430041" cy="2382981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959" cy="239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Выгораживаемый участок должен быть горизонтально выровнен, застелен нетканым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геотекстилем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с поверхностной плотностью минимум 200г/м² и иметь отсыпку гравием, (щебнем) толщиной 150мм, фракция 20-40мм, равномерно распределенную по всему участку, </w:t>
            </w:r>
            <w:r w:rsidRPr="002145F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периметром, отстоящим от ограждения с внешней стороны на расстояние не менее 0,5м. Под слой щебня уложить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геотекстиль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плотностью не менее 200 г/м² который обладает следующими качествами: не гниет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прочен на разрыв, регулируем при растяжении, хорошо пропускает воду.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 В основу вертикальной планировки положен принцип самотёчного отвода поверхностных вод с учётом естественного рельефа местности. При выполнении работ по выравниванию исключить образование впадин и ям на участке, являющихся местами скопления воды.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Благоустройство территории после проведения СМР предусматривает: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подсыпку привозного песка и обратную засыпку вынутого грунта;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освобождение территории от строительного мусора;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вертикальную планировку территории участка;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обратное перемещение, разравнивание и боронование плодородного почвенного слоя, устройство газонов лугового типа вокруг огороженной территории.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45FA" w:rsidRPr="002145FA" w:rsidTr="002145FA">
        <w:trPr>
          <w:trHeight w:val="547"/>
        </w:trPr>
        <w:tc>
          <w:tcPr>
            <w:tcW w:w="829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2.9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 по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светоограждению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цветомаркировке</w:t>
            </w:r>
            <w:proofErr w:type="spellEnd"/>
          </w:p>
        </w:tc>
        <w:tc>
          <w:tcPr>
            <w:tcW w:w="4171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Дневная цветовая маркировка Объекта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светоограждение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выполняются (при необходимости) в соответствии с требованиями приказа Министерства транспорта РФ от 25 августа 2015 г. N 262.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Фонари СОМ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Фонари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(огни СОМ) устанавливаются в соответствии с требованиями приказа Министерства транспорта РФ от 25 августа 2015 г. N 262; РД 45.162-2001 и должны комплектоваться сертифицированными светодиодными излучающими устройствами с наработкой на отказ не менее 80 000 часов. Подаваемое напряжение к огням СОМ 48 В. Для электропитания фонарей установить щит со степенью защиты не ниже IP 65 (блок управления световым ограждением) с аккумуляторными батареями (тип РЩ указывается Заказчиком).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OLE_LINK7"/>
            <w:bookmarkStart w:id="2" w:name="OLE_LINK8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Фонари СОМ должны располагать таким образом, что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при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установки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панельных антенн оператора на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трубостойках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если таковые есть на той же высоте, антенны не загораживали огни СОМ.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57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Электропитание блока управления световым </w:t>
            </w:r>
            <w:bookmarkEnd w:id="1"/>
            <w:bookmarkEnd w:id="2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ограждением выполнить на напряжение 380/220В (две фазы, нулевые рабочий (N) и защитный (РЕ) проводники) от проектируемого шкафа питания ШП (защитный (РЕ) проводник от внутреннего контура заземления). Для увеличения надёжности электропитания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светоограждения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блок управления подключить к разным фазам, при этом каждая фаза должна иметь свой автоматический выключатель с током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расцепителя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10 А. Блок управления должен иметь автоматическое и ручное управление огнями СОМ. Порог срабатывания регулируется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Кабель к огням СОМ проложить совместно с основной кабельной трассой. Корпуса светильников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ответвительных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коробок заземлить, используя специальную заземляющую жилу питающего кабеля.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Заградительные огни крепятся хомутами, а кабель – к планкам, предусмотренным в конструкции Объекта.</w:t>
            </w:r>
          </w:p>
          <w:p w:rsidR="002145FA" w:rsidRPr="002145FA" w:rsidRDefault="002145FA" w:rsidP="002145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145FA" w:rsidRPr="002145FA" w:rsidTr="002145FA">
        <w:trPr>
          <w:trHeight w:val="547"/>
        </w:trPr>
        <w:tc>
          <w:tcPr>
            <w:tcW w:w="829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2.10 Общие требования к проведению работ</w:t>
            </w:r>
          </w:p>
        </w:tc>
        <w:tc>
          <w:tcPr>
            <w:tcW w:w="4171" w:type="pct"/>
            <w:shd w:val="clear" w:color="auto" w:fill="auto"/>
          </w:tcPr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ВМО: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 Устройство котлована для установки Опоры выполнить в соответствии с проектом. При необходимости   возвести опалубку, пазухи между опалубкой и грунтом засыпать  песчано-гравийной смесью и утрамбовать.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2. Дно котлована засыпать песчано-гравийной смесью, с последующим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трамбованием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3. Внутри фундаментной секции опоры необходимо предусмотреть по две закладные трубы ПНД, диаметром 50-63мм, с двух сторон, параллельно проезжей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части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а/д, тротуаров, автостоянок и т.п. для этого в закладной детали ствола Опоры существует два технологический окна.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4. В случае, если в проекте не указано иное: в качестве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молниезащиты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используются 4 стальных уголка 63х63мм, длинной 3,5м, заглубленных на 4 м в грунт и соединенные между собой стальной полосой 4х40мм на расстоянии 3м, на глубине не менее 0,5м от уровня земли,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образуя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таким образом контур заземления.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5. В  случае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если в проекте не указано иное: для соединения контура заземления с опорой необходимо смонтировать полосу заземления, которая соединяется с контуром заземления при помощи сварного соединения внахлест.  Длина сварного шва - не менее 100мм. Полоса заземления присоединяется к стволу Опоры на специально предусмотренную шпильку, расположенную на уровне технологического окна внутри Опоры, при помощи гайки с шайбой и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гроверной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шайбы. Полосу заземления необходимо очистить от ржавчины и окрасить.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 В случае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если в проекте не указано иное: бетонирование пазух фундамента выполняется привозной смесью, по лотку. Бетон класса по прочности В30, марка по морозостойкости -F200, марка по водопроницаемости не хуже w6, ГОСТ 26633-90.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7. При выполнении работ необходимо обеспечить фиксацию закладной детали сверху и снизу для исключения ее смещения до набора прочности бетоном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8. Внутреннюю полость закладной детали ствола Опоры заполнить бетоном до уровня фланца.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9. В случае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если в проекте не указано иное: закладную деталь ствола Опоры установить таким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орбразом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чтобы расстояние от фундамента до верхнего среза не превышало 200мм.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10. Допустимое горизонтальное отклонение для закладной детали Опоры – 0,5 градуса 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(контролируется перед бетонированием фундамента и после бетонирования, а также перед установкой Опоры электронным уровнем)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11. Трещины, сколы, раковины, арматура на выступающих частях фундамента-не допустима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12. Под гайку в местах примыкания к фланцам устан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вить одну круглую шайбу.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13. Гайки и головки болтов (в том числе фундаментных), после затяжки должны плотно (без зазоров) соприкасаться с плоскостями шайб или элементов конструкций. 14. Резьба болтов и шпилек должна выступать из гаек не менее чем на один виток с полным профилем.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15. Запрещается применение болтов и гаек, не имеющих заводской маркировки   временного сопротивления или класса прочности. После выполнения работ маркировка элементов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должна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читаема без необходимости демонтажа этих элементов.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16.  Метизы болты, гайки, шпильки, шайбы в обязательном порядке должны иметь цинковое покрытие.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17. Болты и шпильки во фланцевых соединениях надлежит закреплять двумя гайками (контргайками), причем шпильки необходимо закреплять контргайками во всех плоскостях сечения опорного фланца (т.е. на каждой шпильке фланцевого соединения ствола Опоры и ствола закладной детали должно быть в сумме 8 гаек)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18.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Заводское антикоррозийное покрытие, нарушенное при монтаже и сварке обязательно должно быть восстановлено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. Место повреждения должно быть зашкурено, обезжирено и покрыто цинксодержащей эмалью марки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Барьерцинк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Цинол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Zinga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» или аналогичной с высоким содержанием цинка (не менее 95%) в сухой пленке, заранее согласованного с 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Заказчиком.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6E24D4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19. Торцы шпилек опорного фланца должны быть обработаны цинксодержащей эмалью марки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Барьерцинк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Цинол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», «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Zinga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» или аналога, заранее согласованного с </w:t>
            </w:r>
            <w:r w:rsidR="006E24D4" w:rsidRPr="006E24D4">
              <w:rPr>
                <w:rFonts w:ascii="Times New Roman" w:hAnsi="Times New Roman"/>
                <w:bCs/>
                <w:sz w:val="20"/>
                <w:szCs w:val="20"/>
              </w:rPr>
              <w:t>Заказчиком</w:t>
            </w:r>
            <w:r w:rsidR="006E24D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6E24D4" w:rsidRPr="006E24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20. Предельные Отклонения ОПОР от проектного положения не должны превышать 0,001 высоты выверяемой точки над фундаментом.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21. Все предусмотренные проектом крышки фидерных вводов должны быть установлены и закреплены.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22. На оболочке ствола Опор, крышках фидерных вводов, люков, дверец должны отсутствовать вмятины.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23.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Молниеприемник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не должен быть искривлен более чем на 0,5 градуса.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24. В целях антикоррозийной защиты, выступающую бетонную часть фундамента необходимо обмазать горячим битумом (битумной мастикой) в 2 слоя.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25. Вокруг фундамента должна быть выполнена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отмостка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проекто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м(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типовым или согласованным с РБ).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26. По окончании работ необходимо выполнить работы по благоустройству территории: восстановить растительный слой (дорожное покрытие), выполнить планировку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согласно проекта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убрать мусор.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27. По окончании СМР фундамента, не позднее трех дней, направить на электронную почту (</w:t>
            </w:r>
            <w:hyperlink r:id="rId8" w:history="1">
              <w:r w:rsidRPr="002145FA">
                <w:rPr>
                  <w:rFonts w:ascii="Times New Roman" w:hAnsi="Times New Roman"/>
                  <w:bCs/>
                  <w:sz w:val="20"/>
                  <w:szCs w:val="20"/>
                  <w:u w:val="single"/>
                </w:rPr>
                <w:t xml:space="preserve"> ответственных</w:t>
              </w:r>
            </w:hyperlink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лиц со стороны Заказчика) копии следующих документов: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фотоотчет в соответствии с п.1 и п.2 к настоящим Требованиям; 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альбом КЖ и МЗ для построенной опоры, скрепленный подписью и печатью организации.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Дальнейшие работы проводить после согласования работ по СМР фундамента.28. По окончании СМР Опоры, не позднее трех рабочих дней, направить на электронную почту (</w:t>
            </w:r>
            <w:hyperlink r:id="rId9" w:history="1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ответственных лиц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)к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опии следующих документов: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журнал угловых измерений с подписью лица, проводившего измерения, скрепленный подписью и печатью организации;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 фотоотчет СМР, в соответствии с приложением 1 к настоящим Требованиям; 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 альбом КЖ и МЗ для построенной опоры, скрепленный подписью и печатью организации.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29. Заказчик оставляет за собой право контроля выполнения работ на любом этапе их проведения с привлечением третьих лиц, с полномочиями на прекращение работ, при выявлении отклонений от проекта. Полномочия, дающие право на прекращение работ для третьих лиц, должны быть подтверждены соответствующей доверенностью.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Требования к фотоотчету для ВМО: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-Фотоотчет представляет из себя Архивный файл или папку на облачном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обменнике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-Фото должны быть сделаны в дневное время суток;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-Разрешение кадра должно быть не менее 3000х4000 пикселей;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-Размытые фото не будут учитываться и Ф/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не будет принят. Необходимо проверять четкость (фокусировку) сразу.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-Имена файлов фото в папке/архиве должны соответствовать номеру по данному требованию.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Фотоотчет должен додержать.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 Фото устройства фундамента Опоры: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1.1 общий вид котлована с привязкой к местности (В кадр должны попасть часть застройки или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местности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по которой можно идентифицировать объект и его расположение).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1.2 Укрупненное фото котлована.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1.3 Фото котлована с подтверждением проектной глубины и габаритов в плане для типа строящейся опоры (рулетка)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1.4 Фото наличия подсыпки на дно котлована (при наличии в проекте)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 Фото контура заземления: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2.1 Общий вид котлована с установленным контуром заземления с привязкой к местности;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 Укрупненный вид котлована с установленным контуром заземления (все электроды заземления и соединительные шины должны быть видны)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 Установка закладной части Опоры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3.1 Общий вид установленной закладной части Опоры с закладными под кабель (не забетонированной), с привязкой к местности.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3.2 Укрупненное фото котлована с установленной закладной частью Опоры (не забетонированной). При наличии армирования - дополнить общими фотографиями пространственных арматурных каркасов до заливки бетона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3.3 Общий вид фото забетонированного котлована и закладной части Опоры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согласно регламента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с привязкой к местности. Фото заполненного до верха бетоном фланца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3.4 Укрупненный вид фото забетонированного котлована и закладной части Опоры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3.5 Фото с электронным уровнем на опорном фланце в 2х перпендикулярных плоскостях закладной части ствола Опоры с допустимыми показателями горизонтальности.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 Сборка ствола Опоры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4.1 Общий вид собранной, но не поднятой опоры, с привязкой к местности с 3 сторон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4.2 Фото монтажных окон (закрепление, отсутствие вмятин). И общее фото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окон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подтверждающее их прямолинейное расположение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4.3 Фото установленных шин заземления при их наличии в проектном решении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4.4 Фотографии регулировочных болтов при их наличии в проекте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4.5 Фотографии фланцевых соединений или упоров (на предмет отсутствия зазоров)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ab/>
              <w:t>Подъем Опоры - Три произвольных Фото с разных сторон процесса установки ствола ОПОР (не менее 1 фото установленной опоры в полный рост)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Смонтированная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Опоры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6.1 Общий вид установленной опоры с привязкой к местности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6.2 Укрупненный Вид опорного соединения фланца с трех сторон (подтверждения проектного количества установленных шайб и контргаек и отсутствия ржавчины на них и на торцах шпилек, наличие маркировки класса прочности на торцах гаек)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6.3 Укрупненный вид полосы заземления снаружи ствола Опоры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6.4 Укрупненный вид соединения полосы заземления со стволом Опоры изнутри ствола Опоры (через технологический люк) или фото, подтверждающее выполнение проектного решения.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6.5 Укрупненный вид установленного цоколя (фото подтверждения целостности пластикового кожуха и наличия всех креплений в предусмотренных местах и правильность установки цоколя относительно земли </w:t>
            </w:r>
            <w:proofErr w:type="gramEnd"/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6.6 Общий вид установленной Опоры с трех сторон, </w:t>
            </w:r>
            <w:proofErr w:type="gram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подтверждающее</w:t>
            </w:r>
            <w:proofErr w:type="gram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 правильную ориентацию опоры (монтажных окон) относительно существующих дорог. 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6.7 Фото, подтверждающее выполнение работ по геодезическому контролю вертикальности ствола опоры (фото опоры и исполнителя с оборудованием в процессе работ)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 xml:space="preserve">6.8 Фото выполненных работ по благоустройству (восстановление растительного слоя), наличие проектного решения по устройству </w:t>
            </w:r>
            <w:proofErr w:type="spellStart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отмостки</w:t>
            </w:r>
            <w:proofErr w:type="spellEnd"/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, отсутствие мусора на объекте после монтажа.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145FA">
              <w:rPr>
                <w:rFonts w:ascii="Times New Roman" w:hAnsi="Times New Roman"/>
                <w:bCs/>
                <w:sz w:val="20"/>
                <w:szCs w:val="20"/>
              </w:rPr>
              <w:t>6.9 Фото уточненных координат (укрупненное фото с GPS приемника, установленного опорном фланце Опоры, с отчетливо видимыми координатами и индикацией связи со спутниками на дисплее)</w:t>
            </w:r>
          </w:p>
          <w:p w:rsidR="002145FA" w:rsidRPr="002145FA" w:rsidRDefault="002145FA" w:rsidP="0021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145FA" w:rsidRDefault="002145FA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:rsidR="006E24D4" w:rsidRDefault="006E24D4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:rsidR="006E24D4" w:rsidRDefault="006E24D4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p w:rsidR="006E24D4" w:rsidRPr="006E24D4" w:rsidRDefault="006E24D4" w:rsidP="006E24D4">
      <w:pPr>
        <w:spacing w:after="0" w:line="240" w:lineRule="auto"/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</w:pP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ЗАКАЗЧИК</w:t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Pr="006E24D4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  <w:t xml:space="preserve">            ПОДРЯДЧИК</w:t>
      </w: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6E24D4" w:rsidRPr="006E24D4" w:rsidTr="006E24D4">
        <w:tc>
          <w:tcPr>
            <w:tcW w:w="2505" w:type="pct"/>
          </w:tcPr>
          <w:p w:rsidR="006E24D4" w:rsidRPr="006E24D4" w:rsidRDefault="006E24D4" w:rsidP="006E24D4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  <w:p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</w:p>
          <w:p w:rsidR="006E24D4" w:rsidRPr="006E24D4" w:rsidRDefault="006E24D4" w:rsidP="006E24D4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 w:rsidRPr="006E24D4">
              <w:rPr>
                <w:rFonts w:ascii="Times New Roman" w:eastAsia="Calibri" w:hAnsi="Times New Roman"/>
                <w:lang w:eastAsia="en-US"/>
              </w:rPr>
              <w:t xml:space="preserve">____________________ </w:t>
            </w:r>
            <w:r w:rsidRPr="006E24D4">
              <w:rPr>
                <w:rFonts w:ascii="Times New Roman" w:eastAsia="Calibri" w:hAnsi="Times New Roman"/>
                <w:b/>
                <w:lang w:eastAsia="en-US"/>
              </w:rPr>
              <w:t xml:space="preserve"> /</w:t>
            </w:r>
            <w:r w:rsidRPr="006E24D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6E24D4" w:rsidRPr="006E24D4" w:rsidRDefault="006E24D4" w:rsidP="006E24D4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95" w:type="pct"/>
          </w:tcPr>
          <w:p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:rsidR="006E24D4" w:rsidRPr="006E24D4" w:rsidRDefault="006E24D4" w:rsidP="006E24D4">
            <w:pPr>
              <w:ind w:right="-1"/>
              <w:rPr>
                <w:rFonts w:ascii="Times New Roman" w:hAnsi="Times New Roman"/>
              </w:rPr>
            </w:pPr>
          </w:p>
          <w:p w:rsidR="006E24D4" w:rsidRPr="006E24D4" w:rsidRDefault="006E24D4" w:rsidP="006E24D4">
            <w:pPr>
              <w:ind w:right="-1"/>
              <w:rPr>
                <w:rFonts w:ascii="Times New Roman" w:hAnsi="Times New Roman"/>
                <w:lang w:eastAsia="en-US"/>
              </w:rPr>
            </w:pPr>
            <w:r w:rsidRPr="006E24D4">
              <w:rPr>
                <w:rFonts w:ascii="Times New Roman" w:hAnsi="Times New Roman"/>
                <w:b/>
              </w:rPr>
              <w:t>__________________ /</w:t>
            </w:r>
          </w:p>
        </w:tc>
      </w:tr>
    </w:tbl>
    <w:p w:rsidR="006E24D4" w:rsidRPr="002145FA" w:rsidRDefault="006E24D4" w:rsidP="002145FA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E24D4" w:rsidRPr="002145FA" w:rsidSect="006E24D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423B3"/>
    <w:multiLevelType w:val="hybridMultilevel"/>
    <w:tmpl w:val="21484E7C"/>
    <w:lvl w:ilvl="0" w:tplc="4900F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6FABE34">
      <w:numFmt w:val="none"/>
      <w:lvlText w:val=""/>
      <w:lvlJc w:val="left"/>
      <w:pPr>
        <w:tabs>
          <w:tab w:val="num" w:pos="360"/>
        </w:tabs>
      </w:pPr>
    </w:lvl>
    <w:lvl w:ilvl="2" w:tplc="6DACBE58">
      <w:numFmt w:val="none"/>
      <w:lvlText w:val=""/>
      <w:lvlJc w:val="left"/>
      <w:pPr>
        <w:tabs>
          <w:tab w:val="num" w:pos="360"/>
        </w:tabs>
      </w:pPr>
    </w:lvl>
    <w:lvl w:ilvl="3" w:tplc="BDBA3262">
      <w:numFmt w:val="none"/>
      <w:lvlText w:val=""/>
      <w:lvlJc w:val="left"/>
      <w:pPr>
        <w:tabs>
          <w:tab w:val="num" w:pos="360"/>
        </w:tabs>
      </w:pPr>
    </w:lvl>
    <w:lvl w:ilvl="4" w:tplc="4BAEB246">
      <w:numFmt w:val="none"/>
      <w:lvlText w:val=""/>
      <w:lvlJc w:val="left"/>
      <w:pPr>
        <w:tabs>
          <w:tab w:val="num" w:pos="360"/>
        </w:tabs>
      </w:pPr>
    </w:lvl>
    <w:lvl w:ilvl="5" w:tplc="9D08EDC8">
      <w:numFmt w:val="none"/>
      <w:lvlText w:val=""/>
      <w:lvlJc w:val="left"/>
      <w:pPr>
        <w:tabs>
          <w:tab w:val="num" w:pos="360"/>
        </w:tabs>
      </w:pPr>
    </w:lvl>
    <w:lvl w:ilvl="6" w:tplc="AC860C00">
      <w:numFmt w:val="none"/>
      <w:lvlText w:val=""/>
      <w:lvlJc w:val="left"/>
      <w:pPr>
        <w:tabs>
          <w:tab w:val="num" w:pos="360"/>
        </w:tabs>
      </w:pPr>
    </w:lvl>
    <w:lvl w:ilvl="7" w:tplc="A8A2C15C">
      <w:numFmt w:val="none"/>
      <w:lvlText w:val=""/>
      <w:lvlJc w:val="left"/>
      <w:pPr>
        <w:tabs>
          <w:tab w:val="num" w:pos="360"/>
        </w:tabs>
      </w:pPr>
    </w:lvl>
    <w:lvl w:ilvl="8" w:tplc="718EDB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F6"/>
    <w:rsid w:val="00135071"/>
    <w:rsid w:val="002145FA"/>
    <w:rsid w:val="002504FE"/>
    <w:rsid w:val="002E45F6"/>
    <w:rsid w:val="006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45FA"/>
    <w:pPr>
      <w:keepNext/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hAnsi="Times New Roman"/>
      <w:bCs/>
      <w:color w:val="000000"/>
      <w:spacing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2145F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5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2145F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145FA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5FA"/>
    <w:rPr>
      <w:rFonts w:ascii="Times New Roman" w:eastAsia="Times New Roman" w:hAnsi="Times New Roman" w:cs="Times New Roman"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145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5F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5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45F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45FA"/>
  </w:style>
  <w:style w:type="paragraph" w:styleId="21">
    <w:name w:val="Body Text 2"/>
    <w:basedOn w:val="a"/>
    <w:link w:val="22"/>
    <w:rsid w:val="002145FA"/>
    <w:pPr>
      <w:tabs>
        <w:tab w:val="num" w:pos="603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14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145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145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145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2145FA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145FA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2145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8"/>
      <w:jc w:val="both"/>
    </w:pPr>
    <w:rPr>
      <w:rFonts w:ascii="Times New Roman" w:hAnsi="Times New Roman"/>
      <w:i/>
      <w:iCs/>
      <w:color w:val="00000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2145F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FFFFFF"/>
      <w:lang w:eastAsia="ru-RU"/>
    </w:rPr>
  </w:style>
  <w:style w:type="character" w:styleId="ab">
    <w:name w:val="page number"/>
    <w:basedOn w:val="a0"/>
    <w:rsid w:val="002145FA"/>
  </w:style>
  <w:style w:type="paragraph" w:styleId="ac">
    <w:name w:val="Balloon Text"/>
    <w:basedOn w:val="a"/>
    <w:link w:val="ad"/>
    <w:semiHidden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45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2">
    <w:name w:val="Обычный1"/>
    <w:rsid w:val="002145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2145FA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145F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2145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14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2145F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e">
    <w:name w:val="Table Grid"/>
    <w:basedOn w:val="a1"/>
    <w:rsid w:val="0021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_ПростойТекст"/>
    <w:basedOn w:val="a"/>
    <w:rsid w:val="002145F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214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customStyle="1" w:styleId="310">
    <w:name w:val="Основной текст 31"/>
    <w:basedOn w:val="a"/>
    <w:rsid w:val="002145F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nhideWhenUsed/>
    <w:rsid w:val="00214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2145FA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basedOn w:val="a0"/>
    <w:rsid w:val="002145F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2">
    <w:name w:val="Знак"/>
    <w:basedOn w:val="a"/>
    <w:rsid w:val="002145F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145F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34"/>
    <w:qFormat/>
    <w:rsid w:val="002145FA"/>
    <w:pPr>
      <w:spacing w:after="0" w:line="240" w:lineRule="auto"/>
      <w:ind w:left="720"/>
    </w:pPr>
    <w:rPr>
      <w:rFonts w:cs="Calibri"/>
    </w:rPr>
  </w:style>
  <w:style w:type="paragraph" w:styleId="af3">
    <w:name w:val="Block Text"/>
    <w:basedOn w:val="a"/>
    <w:rsid w:val="002145FA"/>
    <w:pPr>
      <w:spacing w:after="240" w:line="240" w:lineRule="auto"/>
      <w:ind w:left="2160"/>
    </w:pPr>
    <w:rPr>
      <w:rFonts w:ascii="Times New Roman" w:eastAsia="SimSun" w:hAnsi="Times New Roman"/>
      <w:kern w:val="24"/>
      <w:sz w:val="24"/>
      <w:szCs w:val="24"/>
      <w:lang w:val="en-US" w:eastAsia="en-US"/>
    </w:rPr>
  </w:style>
  <w:style w:type="paragraph" w:styleId="af4">
    <w:name w:val="No Spacing"/>
    <w:uiPriority w:val="1"/>
    <w:qFormat/>
    <w:rsid w:val="00214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45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rsid w:val="002145FA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14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5">
    <w:name w:val="annotation reference"/>
    <w:basedOn w:val="a0"/>
    <w:unhideWhenUsed/>
    <w:rsid w:val="002145FA"/>
    <w:rPr>
      <w:sz w:val="16"/>
      <w:szCs w:val="16"/>
    </w:rPr>
  </w:style>
  <w:style w:type="paragraph" w:styleId="af6">
    <w:name w:val="annotation text"/>
    <w:basedOn w:val="a"/>
    <w:link w:val="af7"/>
    <w:unhideWhenUsed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45FA"/>
  </w:style>
  <w:style w:type="character" w:customStyle="1" w:styleId="af9">
    <w:name w:val="Тема примечания Знак"/>
    <w:basedOn w:val="af7"/>
    <w:link w:val="af8"/>
    <w:uiPriority w:val="99"/>
    <w:semiHidden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2145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5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Placeholder Text"/>
    <w:basedOn w:val="a0"/>
    <w:uiPriority w:val="99"/>
    <w:semiHidden/>
    <w:rsid w:val="002145FA"/>
    <w:rPr>
      <w:color w:val="808080"/>
    </w:rPr>
  </w:style>
  <w:style w:type="paragraph" w:customStyle="1" w:styleId="DE7B8801F2B1483F98D539CC92927118">
    <w:name w:val="DE7B8801F2B1483F98D539CC92927118"/>
    <w:rsid w:val="002145FA"/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2145FA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145FA"/>
    <w:rPr>
      <w:rFonts w:ascii="Times New Roman" w:hAnsi="Times New Roman" w:cs="Times New Roman"/>
      <w:color w:val="000000"/>
      <w:sz w:val="20"/>
      <w:szCs w:val="20"/>
    </w:rPr>
  </w:style>
  <w:style w:type="paragraph" w:customStyle="1" w:styleId="25">
    <w:name w:val="Абзац списка2"/>
    <w:basedOn w:val="a"/>
    <w:rsid w:val="00214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2145FA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145FA"/>
    <w:rPr>
      <w:color w:val="808080"/>
      <w:shd w:val="clear" w:color="auto" w:fill="E6E6E6"/>
    </w:rPr>
  </w:style>
  <w:style w:type="paragraph" w:styleId="afd">
    <w:name w:val="footnote text"/>
    <w:basedOn w:val="a"/>
    <w:link w:val="afe"/>
    <w:uiPriority w:val="99"/>
    <w:semiHidden/>
    <w:unhideWhenUsed/>
    <w:rsid w:val="002145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2145FA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2145FA"/>
    <w:rPr>
      <w:vertAlign w:val="superscript"/>
    </w:rPr>
  </w:style>
  <w:style w:type="paragraph" w:customStyle="1" w:styleId="ConsPlusTitle">
    <w:name w:val="ConsPlusTitle"/>
    <w:rsid w:val="0021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e"/>
    <w:uiPriority w:val="59"/>
    <w:rsid w:val="002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145F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145FA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e"/>
    <w:rsid w:val="00214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145FA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e"/>
    <w:rsid w:val="006E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145FA"/>
    <w:pPr>
      <w:keepNext/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firstLine="540"/>
      <w:outlineLvl w:val="0"/>
    </w:pPr>
    <w:rPr>
      <w:rFonts w:ascii="Times New Roman" w:hAnsi="Times New Roman"/>
      <w:bCs/>
      <w:color w:val="000000"/>
      <w:spacing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2145F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5F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qFormat/>
    <w:rsid w:val="002145F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145FA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5FA"/>
    <w:rPr>
      <w:rFonts w:ascii="Times New Roman" w:eastAsia="Times New Roman" w:hAnsi="Times New Roman" w:cs="Times New Roman"/>
      <w:bCs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145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45FA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5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145F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45FA"/>
  </w:style>
  <w:style w:type="paragraph" w:styleId="21">
    <w:name w:val="Body Text 2"/>
    <w:basedOn w:val="a"/>
    <w:link w:val="22"/>
    <w:rsid w:val="002145FA"/>
    <w:pPr>
      <w:tabs>
        <w:tab w:val="num" w:pos="603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145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145F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145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145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rsid w:val="002145FA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145FA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2145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8"/>
      <w:jc w:val="both"/>
    </w:pPr>
    <w:rPr>
      <w:rFonts w:ascii="Times New Roman" w:hAnsi="Times New Roman"/>
      <w:i/>
      <w:iCs/>
      <w:color w:val="00000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2145FA"/>
    <w:rPr>
      <w:rFonts w:ascii="Times New Roman" w:eastAsia="Times New Roman" w:hAnsi="Times New Roman" w:cs="Times New Roman"/>
      <w:i/>
      <w:iCs/>
      <w:color w:val="000000"/>
      <w:sz w:val="24"/>
      <w:szCs w:val="20"/>
      <w:shd w:val="clear" w:color="auto" w:fill="FFFFFF"/>
      <w:lang w:eastAsia="ru-RU"/>
    </w:rPr>
  </w:style>
  <w:style w:type="character" w:styleId="ab">
    <w:name w:val="page number"/>
    <w:basedOn w:val="a0"/>
    <w:rsid w:val="002145FA"/>
  </w:style>
  <w:style w:type="paragraph" w:styleId="ac">
    <w:name w:val="Balloon Text"/>
    <w:basedOn w:val="a"/>
    <w:link w:val="ad"/>
    <w:semiHidden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145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2">
    <w:name w:val="Обычный1"/>
    <w:rsid w:val="002145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2145FA"/>
    <w:pPr>
      <w:widowControl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145FA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3">
    <w:name w:val="Body Text 3"/>
    <w:basedOn w:val="a"/>
    <w:link w:val="34"/>
    <w:rsid w:val="002145F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145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2145F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table" w:styleId="ae">
    <w:name w:val="Table Grid"/>
    <w:basedOn w:val="a1"/>
    <w:rsid w:val="00214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">
    <w:name w:val="m_ПростойТекст"/>
    <w:basedOn w:val="a"/>
    <w:rsid w:val="002145F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214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customStyle="1" w:styleId="310">
    <w:name w:val="Основной текст 31"/>
    <w:basedOn w:val="a"/>
    <w:rsid w:val="002145F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f1">
    <w:name w:val="Normal (Web)"/>
    <w:basedOn w:val="a"/>
    <w:unhideWhenUsed/>
    <w:rsid w:val="002145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2145FA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Century Gothic" w:hAnsi="Century Gothic"/>
      <w:sz w:val="24"/>
      <w:szCs w:val="24"/>
    </w:rPr>
  </w:style>
  <w:style w:type="character" w:customStyle="1" w:styleId="FontStyle31">
    <w:name w:val="Font Style31"/>
    <w:basedOn w:val="a0"/>
    <w:rsid w:val="002145F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2">
    <w:name w:val="Знак"/>
    <w:basedOn w:val="a"/>
    <w:rsid w:val="002145F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2145F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34"/>
    <w:qFormat/>
    <w:rsid w:val="002145FA"/>
    <w:pPr>
      <w:spacing w:after="0" w:line="240" w:lineRule="auto"/>
      <w:ind w:left="720"/>
    </w:pPr>
    <w:rPr>
      <w:rFonts w:cs="Calibri"/>
    </w:rPr>
  </w:style>
  <w:style w:type="paragraph" w:styleId="af3">
    <w:name w:val="Block Text"/>
    <w:basedOn w:val="a"/>
    <w:rsid w:val="002145FA"/>
    <w:pPr>
      <w:spacing w:after="240" w:line="240" w:lineRule="auto"/>
      <w:ind w:left="2160"/>
    </w:pPr>
    <w:rPr>
      <w:rFonts w:ascii="Times New Roman" w:eastAsia="SimSun" w:hAnsi="Times New Roman"/>
      <w:kern w:val="24"/>
      <w:sz w:val="24"/>
      <w:szCs w:val="24"/>
      <w:lang w:val="en-US" w:eastAsia="en-US"/>
    </w:rPr>
  </w:style>
  <w:style w:type="paragraph" w:styleId="af4">
    <w:name w:val="No Spacing"/>
    <w:uiPriority w:val="1"/>
    <w:qFormat/>
    <w:rsid w:val="00214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145F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rsid w:val="002145FA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214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5">
    <w:name w:val="annotation reference"/>
    <w:basedOn w:val="a0"/>
    <w:unhideWhenUsed/>
    <w:rsid w:val="002145FA"/>
    <w:rPr>
      <w:sz w:val="16"/>
      <w:szCs w:val="16"/>
    </w:rPr>
  </w:style>
  <w:style w:type="paragraph" w:styleId="af6">
    <w:name w:val="annotation text"/>
    <w:basedOn w:val="a"/>
    <w:link w:val="af7"/>
    <w:unhideWhenUsed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145FA"/>
  </w:style>
  <w:style w:type="character" w:customStyle="1" w:styleId="af9">
    <w:name w:val="Тема примечания Знак"/>
    <w:basedOn w:val="af7"/>
    <w:link w:val="af8"/>
    <w:uiPriority w:val="99"/>
    <w:semiHidden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2145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5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b">
    <w:name w:val="Placeholder Text"/>
    <w:basedOn w:val="a0"/>
    <w:uiPriority w:val="99"/>
    <w:semiHidden/>
    <w:rsid w:val="002145FA"/>
    <w:rPr>
      <w:color w:val="808080"/>
    </w:rPr>
  </w:style>
  <w:style w:type="paragraph" w:customStyle="1" w:styleId="DE7B8801F2B1483F98D539CC92927118">
    <w:name w:val="DE7B8801F2B1483F98D539CC92927118"/>
    <w:rsid w:val="002145FA"/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2145FA"/>
    <w:pPr>
      <w:widowControl w:val="0"/>
      <w:autoSpaceDE w:val="0"/>
      <w:autoSpaceDN w:val="0"/>
      <w:adjustRightInd w:val="0"/>
      <w:spacing w:after="0" w:line="281" w:lineRule="exact"/>
      <w:ind w:firstLine="720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145FA"/>
    <w:rPr>
      <w:rFonts w:ascii="Times New Roman" w:hAnsi="Times New Roman" w:cs="Times New Roman"/>
      <w:color w:val="000000"/>
      <w:sz w:val="20"/>
      <w:szCs w:val="20"/>
    </w:rPr>
  </w:style>
  <w:style w:type="paragraph" w:customStyle="1" w:styleId="25">
    <w:name w:val="Абзац списка2"/>
    <w:basedOn w:val="a"/>
    <w:rsid w:val="002145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basedOn w:val="a0"/>
    <w:uiPriority w:val="99"/>
    <w:unhideWhenUsed/>
    <w:rsid w:val="002145FA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145FA"/>
    <w:rPr>
      <w:color w:val="808080"/>
      <w:shd w:val="clear" w:color="auto" w:fill="E6E6E6"/>
    </w:rPr>
  </w:style>
  <w:style w:type="paragraph" w:styleId="afd">
    <w:name w:val="footnote text"/>
    <w:basedOn w:val="a"/>
    <w:link w:val="afe"/>
    <w:uiPriority w:val="99"/>
    <w:semiHidden/>
    <w:unhideWhenUsed/>
    <w:rsid w:val="002145F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2145FA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2145FA"/>
    <w:rPr>
      <w:vertAlign w:val="superscript"/>
    </w:rPr>
  </w:style>
  <w:style w:type="paragraph" w:customStyle="1" w:styleId="ConsPlusTitle">
    <w:name w:val="ConsPlusTitle"/>
    <w:rsid w:val="00214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6">
    <w:name w:val="Сетка таблицы1"/>
    <w:basedOn w:val="a1"/>
    <w:next w:val="ae"/>
    <w:uiPriority w:val="59"/>
    <w:rsid w:val="002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214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145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2145FA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145FA"/>
    <w:rPr>
      <w:color w:val="605E5C"/>
      <w:shd w:val="clear" w:color="auto" w:fill="E1DFDD"/>
    </w:rPr>
  </w:style>
  <w:style w:type="table" w:customStyle="1" w:styleId="26">
    <w:name w:val="Сетка таблицы2"/>
    <w:basedOn w:val="a1"/>
    <w:next w:val="ae"/>
    <w:rsid w:val="002145FA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145FA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basedOn w:val="a1"/>
    <w:next w:val="ae"/>
    <w:rsid w:val="006E2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&#1086;&#1090;&#1074;&#1077;&#1090;&#1089;&#1090;&#1074;&#1077;&#1085;&#1085;&#1099;&#1093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3539</Words>
  <Characters>20175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Городиская Ирина</dc:creator>
  <cp:keywords/>
  <dc:description/>
  <cp:lastModifiedBy>Городиская Ирина</cp:lastModifiedBy>
  <cp:revision>3</cp:revision>
  <dcterms:created xsi:type="dcterms:W3CDTF">2020-02-20T13:49:00Z</dcterms:created>
  <dcterms:modified xsi:type="dcterms:W3CDTF">2021-01-22T17:08:00Z</dcterms:modified>
</cp:coreProperties>
</file>